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1039417993" w:edGrp="everyone"/>
      <w:permEnd w:id="1039417993"/>
      <w:r w:rsidRPr="006A5F84">
        <w:rPr>
          <w:i/>
          <w:sz w:val="28"/>
          <w:szCs w:val="28"/>
          <w:lang w:val="en-GB"/>
        </w:rPr>
        <w:t>TENDER FORM FOR A SUPPLY CONTRACT</w:t>
      </w:r>
      <w:bookmarkEnd w:id="0"/>
    </w:p>
    <w:bookmarkEnd w:id="1"/>
    <w:p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3437AB" w:rsidRPr="003437AB">
        <w:rPr>
          <w:sz w:val="22"/>
          <w:szCs w:val="22"/>
          <w:lang w:val="en-GB"/>
        </w:rPr>
        <w:t>19SER01/01/51-10-ICT</w:t>
      </w:r>
    </w:p>
    <w:p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3437AB" w:rsidRPr="003437AB">
        <w:rPr>
          <w:sz w:val="22"/>
          <w:szCs w:val="22"/>
          <w:lang w:val="en-GB"/>
        </w:rPr>
        <w:t>Computer equipment</w:t>
      </w: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3437AB" w:rsidRDefault="0047783A" w:rsidP="003437AB">
      <w:pPr>
        <w:spacing w:after="0"/>
        <w:ind w:left="284" w:hanging="284"/>
        <w:rPr>
          <w:sz w:val="22"/>
          <w:szCs w:val="22"/>
        </w:rPr>
      </w:pPr>
      <w:r w:rsidRPr="006A5F84">
        <w:rPr>
          <w:b/>
          <w:sz w:val="22"/>
          <w:szCs w:val="22"/>
        </w:rPr>
        <w:t xml:space="preserve">A: </w:t>
      </w:r>
      <w:r w:rsidR="003437AB" w:rsidRPr="003437AB">
        <w:rPr>
          <w:sz w:val="22"/>
          <w:szCs w:val="22"/>
        </w:rPr>
        <w:t>Innovation Fund</w:t>
      </w:r>
      <w:r w:rsidR="003437AB">
        <w:rPr>
          <w:sz w:val="22"/>
          <w:szCs w:val="22"/>
        </w:rPr>
        <w:t xml:space="preserve">, </w:t>
      </w:r>
      <w:r w:rsidR="003437AB" w:rsidRPr="003437AB">
        <w:rPr>
          <w:sz w:val="22"/>
          <w:szCs w:val="22"/>
        </w:rPr>
        <w:t xml:space="preserve">Headquarters: </w:t>
      </w:r>
      <w:proofErr w:type="spellStart"/>
      <w:r w:rsidR="003437AB" w:rsidRPr="003437AB">
        <w:rPr>
          <w:sz w:val="22"/>
          <w:szCs w:val="22"/>
        </w:rPr>
        <w:t>Nemanjina</w:t>
      </w:r>
      <w:proofErr w:type="spellEnd"/>
      <w:r w:rsidR="003437AB" w:rsidRPr="003437AB">
        <w:rPr>
          <w:sz w:val="22"/>
          <w:szCs w:val="22"/>
        </w:rPr>
        <w:t xml:space="preserve"> 22-26</w:t>
      </w:r>
      <w:r w:rsidR="003437AB">
        <w:rPr>
          <w:sz w:val="22"/>
          <w:szCs w:val="22"/>
        </w:rPr>
        <w:t xml:space="preserve">, </w:t>
      </w:r>
      <w:r w:rsidR="003437AB" w:rsidRPr="003437AB">
        <w:rPr>
          <w:sz w:val="22"/>
          <w:szCs w:val="22"/>
        </w:rPr>
        <w:t xml:space="preserve">Offices: </w:t>
      </w:r>
      <w:proofErr w:type="spellStart"/>
      <w:r w:rsidR="003437AB" w:rsidRPr="003437AB">
        <w:rPr>
          <w:sz w:val="22"/>
          <w:szCs w:val="22"/>
        </w:rPr>
        <w:t>Veljka</w:t>
      </w:r>
      <w:proofErr w:type="spellEnd"/>
      <w:r w:rsidR="003437AB" w:rsidRPr="003437AB">
        <w:rPr>
          <w:sz w:val="22"/>
          <w:szCs w:val="22"/>
        </w:rPr>
        <w:t xml:space="preserve"> </w:t>
      </w:r>
      <w:proofErr w:type="spellStart"/>
      <w:r w:rsidR="003437AB" w:rsidRPr="003437AB">
        <w:rPr>
          <w:sz w:val="22"/>
          <w:szCs w:val="22"/>
        </w:rPr>
        <w:t>Dugoševića</w:t>
      </w:r>
      <w:proofErr w:type="spellEnd"/>
      <w:r w:rsidR="003437AB" w:rsidRPr="003437AB">
        <w:rPr>
          <w:sz w:val="22"/>
          <w:szCs w:val="22"/>
        </w:rPr>
        <w:t xml:space="preserve"> no. 54</w:t>
      </w:r>
      <w:r w:rsidR="003437AB">
        <w:rPr>
          <w:sz w:val="22"/>
          <w:szCs w:val="22"/>
        </w:rPr>
        <w:t xml:space="preserve">, </w:t>
      </w:r>
      <w:r w:rsidR="003437AB" w:rsidRPr="003437AB">
        <w:rPr>
          <w:sz w:val="22"/>
          <w:szCs w:val="22"/>
        </w:rPr>
        <w:t>11000 Belgrade, Republic of Serbia</w:t>
      </w:r>
      <w:r w:rsidR="003437AB">
        <w:rPr>
          <w:sz w:val="22"/>
          <w:szCs w:val="22"/>
        </w:rPr>
        <w:t xml:space="preserve">, </w:t>
      </w:r>
      <w:r w:rsidR="003437AB" w:rsidRPr="003437AB">
        <w:rPr>
          <w:sz w:val="22"/>
          <w:szCs w:val="22"/>
        </w:rPr>
        <w:t>VAT 104403200</w:t>
      </w:r>
      <w:r w:rsidR="003437AB">
        <w:rPr>
          <w:sz w:val="22"/>
          <w:szCs w:val="22"/>
        </w:rPr>
        <w:t xml:space="preserve">, </w:t>
      </w:r>
      <w:r w:rsidR="003437AB" w:rsidRPr="003437AB">
        <w:rPr>
          <w:sz w:val="22"/>
          <w:szCs w:val="22"/>
        </w:rPr>
        <w:t xml:space="preserve">ID 20154691 </w:t>
      </w:r>
    </w:p>
    <w:p w:rsidR="0047783A" w:rsidRPr="006A5F84" w:rsidRDefault="0047783A">
      <w:pPr>
        <w:pStyle w:val="Blockquote"/>
        <w:pBdr>
          <w:top w:val="single" w:sz="4" w:space="1" w:color="auto"/>
        </w:pBdr>
        <w:spacing w:before="0" w:after="0"/>
        <w:ind w:left="0" w:right="0"/>
        <w:jc w:val="center"/>
        <w:rPr>
          <w:sz w:val="18"/>
          <w:lang w:val="en-GB"/>
        </w:rPr>
      </w:pPr>
    </w:p>
    <w:p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r w:rsidRPr="006A5F84">
              <w:rPr>
                <w:b/>
                <w:sz w:val="22"/>
              </w:rPr>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3437AB">
      <w:pPr>
        <w:keepNext/>
        <w:spacing w:before="720" w:after="240"/>
        <w:jc w:val="both"/>
        <w:outlineLvl w:val="0"/>
        <w:rPr>
          <w:b/>
          <w:sz w:val="24"/>
          <w:szCs w:val="24"/>
        </w:rPr>
      </w:pPr>
      <w:r w:rsidRPr="006A5F84">
        <w:rPr>
          <w:b/>
          <w:sz w:val="24"/>
          <w:szCs w:val="24"/>
        </w:rPr>
        <w:lastRenderedPageBreak/>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rsidTr="00D64597">
        <w:tc>
          <w:tcPr>
            <w:tcW w:w="3686" w:type="dxa"/>
            <w:tcBorders>
              <w:bottom w:val="nil"/>
            </w:tcBorders>
            <w:shd w:val="pct5" w:color="auto" w:fill="FFFFFF"/>
          </w:tcPr>
          <w:p w:rsidR="00B34C65" w:rsidRDefault="00B34C65" w:rsidP="003502E9">
            <w:pPr>
              <w:keepNext/>
              <w:keepLines/>
              <w:widowControl w:val="0"/>
              <w:jc w:val="center"/>
              <w:rPr>
                <w:b/>
              </w:rPr>
            </w:pPr>
            <w:r w:rsidRPr="006A5F84">
              <w:rPr>
                <w:b/>
              </w:rPr>
              <w:t>Financial data</w:t>
            </w:r>
          </w:p>
          <w:p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00B34C65" w:rsidRPr="006A5F84" w:rsidRDefault="00B34C65" w:rsidP="003502E9">
            <w:pPr>
              <w:keepNext/>
              <w:keepLines/>
              <w:widowControl w:val="0"/>
              <w:jc w:val="center"/>
              <w:rPr>
                <w:b/>
              </w:rPr>
            </w:pPr>
          </w:p>
          <w:p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00B34C65" w:rsidRPr="006A5F84" w:rsidRDefault="00B34C65" w:rsidP="003502E9">
            <w:pPr>
              <w:keepNext/>
              <w:keepLines/>
              <w:widowControl w:val="0"/>
              <w:jc w:val="center"/>
              <w:rPr>
                <w:b/>
              </w:rPr>
            </w:pPr>
          </w:p>
          <w:p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00B34C65" w:rsidRPr="006A5F84" w:rsidRDefault="00B34C65" w:rsidP="0047783A">
            <w:pPr>
              <w:keepNext/>
              <w:keepLines/>
              <w:widowControl w:val="0"/>
              <w:jc w:val="center"/>
              <w:rPr>
                <w:b/>
              </w:rPr>
            </w:pPr>
          </w:p>
          <w:p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rsidR="00B34C65" w:rsidRPr="00D64597" w:rsidRDefault="00B34C65" w:rsidP="00B34C65">
            <w:pPr>
              <w:widowControl w:val="0"/>
              <w:spacing w:before="60" w:after="60"/>
              <w:jc w:val="center"/>
              <w:rPr>
                <w:b/>
                <w:highlight w:val="lightGray"/>
              </w:rPr>
            </w:pPr>
            <w:r w:rsidRPr="00D64597">
              <w:rPr>
                <w:b/>
                <w:highlight w:val="lightGray"/>
              </w:rPr>
              <w:t>[Past year</w:t>
            </w:r>
          </w:p>
          <w:p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rsidTr="00D64597">
        <w:trPr>
          <w:cantSplit/>
        </w:trPr>
        <w:tc>
          <w:tcPr>
            <w:tcW w:w="3686" w:type="dxa"/>
            <w:tcBorders>
              <w:top w:val="single" w:sz="6" w:space="0" w:color="auto"/>
              <w:bottom w:val="double" w:sz="4" w:space="0" w:color="auto"/>
            </w:tcBorders>
          </w:tcPr>
          <w:p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1134" w:type="dxa"/>
            <w:tcBorders>
              <w:top w:val="single" w:sz="6" w:space="0" w:color="auto"/>
              <w:bottom w:val="double" w:sz="4" w:space="0" w:color="auto"/>
            </w:tcBorders>
          </w:tcPr>
          <w:p w:rsidR="00B34C65" w:rsidRPr="006A5F84" w:rsidRDefault="00B34C65" w:rsidP="003502E9">
            <w:pPr>
              <w:keepNext/>
              <w:keepLines/>
              <w:widowControl w:val="0"/>
            </w:pP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Borders>
              <w:top w:val="nil"/>
            </w:tcBorders>
          </w:tcPr>
          <w:p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rsidR="00B34C65" w:rsidRPr="006A5F84" w:rsidRDefault="00B34C65" w:rsidP="003502E9">
            <w:pPr>
              <w:keepNext/>
              <w:keepLines/>
              <w:widowControl w:val="0"/>
            </w:pPr>
          </w:p>
        </w:tc>
        <w:tc>
          <w:tcPr>
            <w:tcW w:w="1134" w:type="dxa"/>
            <w:tcBorders>
              <w:top w:val="nil"/>
              <w:bottom w:val="single" w:sz="6" w:space="0" w:color="auto"/>
            </w:tcBorders>
          </w:tcPr>
          <w:p w:rsidR="00B34C65" w:rsidRPr="006A5F84" w:rsidRDefault="00B34C65" w:rsidP="003502E9">
            <w:pPr>
              <w:keepNext/>
              <w:keepLines/>
              <w:widowControl w:val="0"/>
            </w:pPr>
          </w:p>
        </w:tc>
        <w:tc>
          <w:tcPr>
            <w:tcW w:w="992"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Pr>
          <w:p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r>
      <w:tr w:rsidR="00B34C65" w:rsidRPr="006A5F84" w:rsidTr="00D64597">
        <w:trPr>
          <w:cantSplit/>
        </w:trPr>
        <w:tc>
          <w:tcPr>
            <w:tcW w:w="3686" w:type="dxa"/>
          </w:tcPr>
          <w:p w:rsidR="00B34C65" w:rsidRPr="00CF5D66" w:rsidRDefault="00B34C65" w:rsidP="003502E9">
            <w:pPr>
              <w:keepNext/>
              <w:keepLines/>
              <w:widowControl w:val="0"/>
              <w:rPr>
                <w:lang w:val="fr-BE"/>
              </w:rPr>
            </w:pPr>
            <w:r w:rsidRPr="00AF2815">
              <w:rPr>
                <w:sz w:val="22"/>
                <w:szCs w:val="22"/>
                <w:highlight w:val="lightGray"/>
                <w:lang w:val="fr-BE"/>
              </w:rPr>
              <w:t>[</w:t>
            </w:r>
            <w:proofErr w:type="spellStart"/>
            <w:r w:rsidRPr="00CF5D66">
              <w:rPr>
                <w:sz w:val="22"/>
                <w:szCs w:val="22"/>
                <w:highlight w:val="lightGray"/>
                <w:lang w:val="fr-BE"/>
              </w:rPr>
              <w:t>Current</w:t>
            </w:r>
            <w:proofErr w:type="spellEnd"/>
            <w:r w:rsidRPr="00AF2815">
              <w:rPr>
                <w:sz w:val="22"/>
                <w:szCs w:val="22"/>
                <w:highlight w:val="lightGray"/>
                <w:lang w:val="fr-BE"/>
              </w:rPr>
              <w:t xml:space="preserve"> ratio (</w:t>
            </w:r>
            <w:proofErr w:type="spellStart"/>
            <w:r w:rsidRPr="00CF5D66">
              <w:rPr>
                <w:sz w:val="22"/>
                <w:szCs w:val="22"/>
                <w:highlight w:val="lightGray"/>
                <w:lang w:val="fr-BE"/>
              </w:rPr>
              <w:t>current</w:t>
            </w:r>
            <w:proofErr w:type="spellEnd"/>
            <w:r w:rsidRPr="00AF2815">
              <w:rPr>
                <w:sz w:val="22"/>
                <w:szCs w:val="22"/>
                <w:highlight w:val="lightGray"/>
                <w:lang w:val="fr-BE"/>
              </w:rPr>
              <w:t xml:space="preserve"> </w:t>
            </w:r>
            <w:r w:rsidRPr="00CF5D66">
              <w:rPr>
                <w:sz w:val="22"/>
                <w:szCs w:val="22"/>
                <w:highlight w:val="lightGray"/>
                <w:lang w:val="fr-BE"/>
              </w:rPr>
              <w:t>assets</w:t>
            </w:r>
            <w:r w:rsidRPr="00AF2815">
              <w:rPr>
                <w:sz w:val="22"/>
                <w:szCs w:val="22"/>
                <w:highlight w:val="lightGray"/>
                <w:lang w:val="fr-BE"/>
              </w:rPr>
              <w:t>/</w:t>
            </w:r>
            <w:proofErr w:type="spellStart"/>
            <w:r w:rsidRPr="00CF5D66">
              <w:rPr>
                <w:sz w:val="22"/>
                <w:szCs w:val="22"/>
                <w:highlight w:val="lightGray"/>
                <w:lang w:val="fr-BE"/>
              </w:rPr>
              <w:t>current</w:t>
            </w:r>
            <w:proofErr w:type="spellEnd"/>
            <w:r w:rsidRPr="00AF2815">
              <w:rPr>
                <w:sz w:val="22"/>
                <w:szCs w:val="22"/>
                <w:highlight w:val="lightGray"/>
                <w:lang w:val="fr-BE"/>
              </w:rPr>
              <w:t xml:space="preserve"> </w:t>
            </w:r>
            <w:proofErr w:type="spellStart"/>
            <w:r w:rsidRPr="00CF5D66">
              <w:rPr>
                <w:sz w:val="22"/>
                <w:szCs w:val="22"/>
                <w:highlight w:val="lightGray"/>
                <w:lang w:val="fr-BE"/>
              </w:rPr>
              <w:t>liabilities</w:t>
            </w:r>
            <w:proofErr w:type="spellEnd"/>
            <w:r w:rsidRPr="00AF2815">
              <w:rPr>
                <w:sz w:val="22"/>
                <w:szCs w:val="22"/>
                <w:highlight w:val="lightGray"/>
                <w:lang w:val="fr-BE"/>
              </w:rPr>
              <w:t>)</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rsidR="00B34C65" w:rsidRPr="006A5F84" w:rsidRDefault="00B34C65" w:rsidP="003502E9">
            <w:pPr>
              <w:keepNext/>
              <w:keepLines/>
              <w:widowControl w:val="0"/>
            </w:pPr>
            <w:r w:rsidRPr="00AF2815">
              <w:rPr>
                <w:sz w:val="22"/>
                <w:szCs w:val="22"/>
                <w:highlight w:val="lightGray"/>
              </w:rPr>
              <w:t>Not applicable</w:t>
            </w:r>
          </w:p>
        </w:tc>
        <w:tc>
          <w:tcPr>
            <w:tcW w:w="993" w:type="dxa"/>
            <w:tcBorders>
              <w:top w:val="single" w:sz="6" w:space="0" w:color="auto"/>
              <w:bottom w:val="single" w:sz="6" w:space="0" w:color="auto"/>
            </w:tcBorders>
            <w:vAlign w:val="center"/>
          </w:tcPr>
          <w:p w:rsidR="00B34C65" w:rsidRPr="006A5F84" w:rsidRDefault="00B34C65" w:rsidP="003502E9">
            <w:pPr>
              <w:keepNext/>
              <w:keepLines/>
              <w:widowControl w:val="0"/>
            </w:pPr>
            <w:r w:rsidRPr="00AF2815">
              <w:rPr>
                <w:sz w:val="22"/>
                <w:szCs w:val="22"/>
                <w:highlight w:val="lightGray"/>
              </w:rPr>
              <w:t>Not applicable</w:t>
            </w: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r w:rsidRPr="00AF2815">
              <w:rPr>
                <w:sz w:val="22"/>
                <w:szCs w:val="22"/>
                <w:highlight w:val="lightGray"/>
              </w:rPr>
              <w:t>Not applicable]</w:t>
            </w:r>
          </w:p>
        </w:tc>
      </w:tr>
    </w:tbl>
    <w:p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FootnoteText"/>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rsidR="0047783A" w:rsidRPr="006A5F84" w:rsidRDefault="0047783A" w:rsidP="0047783A">
      <w:pPr>
        <w:ind w:left="709"/>
        <w:jc w:val="both"/>
        <w:rPr>
          <w:sz w:val="22"/>
          <w:szCs w:val="22"/>
        </w:rPr>
      </w:pPr>
      <w:r w:rsidRPr="006A5F84">
        <w:rPr>
          <w:sz w:val="22"/>
          <w:szCs w:val="22"/>
        </w:rPr>
        <w:t>Etc.</w:t>
      </w: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3437AB">
      <w:pPr>
        <w:keepNext/>
        <w:ind w:left="709"/>
        <w:jc w:val="both"/>
        <w:rPr>
          <w:sz w:val="22"/>
          <w:szCs w:val="22"/>
        </w:rPr>
      </w:pPr>
      <w:r w:rsidRPr="006A5F84">
        <w:rPr>
          <w:sz w:val="22"/>
          <w:szCs w:val="22"/>
        </w:rPr>
        <w:lastRenderedPageBreak/>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Pr="006A5F84" w:rsidRDefault="0047783A" w:rsidP="003437AB">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rsidR="0047783A" w:rsidRDefault="0047783A" w:rsidP="003437AB">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rsidR="00F86280" w:rsidRPr="006A5F84" w:rsidRDefault="00F86280" w:rsidP="003437AB">
      <w:pPr>
        <w:ind w:left="709" w:firstLine="11"/>
        <w:jc w:val="both"/>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w:t>
      </w:r>
      <w:r w:rsidR="003437AB">
        <w:rPr>
          <w:color w:val="000000"/>
          <w:sz w:val="22"/>
          <w:szCs w:val="22"/>
        </w:rPr>
        <w:t>subcontractors are</w:t>
      </w:r>
      <w:r>
        <w:rPr>
          <w:color w:val="000000"/>
          <w:sz w:val="22"/>
          <w:szCs w:val="22"/>
        </w:rPr>
        <w:t xml:space="preserv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7"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rsidR="0047783A" w:rsidRPr="006A5F84" w:rsidRDefault="0047783A" w:rsidP="003437AB">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firstRow="0" w:lastRow="0" w:firstColumn="0" w:lastColumn="0" w:noHBand="0" w:noVBand="0"/>
      </w:tblPr>
      <w:tblGrid>
        <w:gridCol w:w="2257"/>
        <w:gridCol w:w="1114"/>
        <w:gridCol w:w="1114"/>
        <w:gridCol w:w="1097"/>
        <w:gridCol w:w="1114"/>
        <w:gridCol w:w="1114"/>
        <w:gridCol w:w="1188"/>
      </w:tblGrid>
      <w:tr w:rsidR="00B95E2A" w:rsidRPr="006A5F84" w:rsidTr="003437AB">
        <w:tc>
          <w:tcPr>
            <w:tcW w:w="1598" w:type="pct"/>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Financial data</w:t>
            </w:r>
          </w:p>
          <w:p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694" w:type="pct"/>
            <w:tcBorders>
              <w:bottom w:val="nil"/>
            </w:tcBorders>
            <w:shd w:val="pct5" w:color="auto" w:fill="FFFFFF"/>
          </w:tcPr>
          <w:p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00B95E2A" w:rsidRPr="006A5F84" w:rsidRDefault="00B95E2A" w:rsidP="0047783A">
            <w:pPr>
              <w:keepNext/>
              <w:keepLines/>
              <w:widowControl w:val="0"/>
              <w:jc w:val="center"/>
              <w:rPr>
                <w:b/>
                <w:sz w:val="22"/>
                <w:szCs w:val="22"/>
              </w:rPr>
            </w:pPr>
            <w:r>
              <w:rPr>
                <w:b/>
                <w:sz w:val="22"/>
                <w:szCs w:val="22"/>
              </w:rPr>
              <w:t>EUR</w:t>
            </w:r>
          </w:p>
        </w:tc>
        <w:tc>
          <w:tcPr>
            <w:tcW w:w="625" w:type="pct"/>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Year before last year</w:t>
            </w:r>
          </w:p>
          <w:p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rsidR="00B95E2A" w:rsidRPr="006A5F84" w:rsidRDefault="00B95E2A" w:rsidP="0047783A">
            <w:pPr>
              <w:keepNext/>
              <w:keepLines/>
              <w:widowControl w:val="0"/>
              <w:jc w:val="center"/>
              <w:rPr>
                <w:b/>
                <w:sz w:val="22"/>
                <w:szCs w:val="22"/>
              </w:rPr>
            </w:pPr>
            <w:r>
              <w:rPr>
                <w:b/>
                <w:sz w:val="22"/>
                <w:szCs w:val="22"/>
              </w:rPr>
              <w:t>EUR</w:t>
            </w:r>
          </w:p>
        </w:tc>
        <w:tc>
          <w:tcPr>
            <w:tcW w:w="556" w:type="pct"/>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Last year</w:t>
            </w:r>
          </w:p>
          <w:p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rsidR="00B95E2A" w:rsidRPr="006A5F84" w:rsidRDefault="00B95E2A" w:rsidP="0047783A">
            <w:pPr>
              <w:keepNext/>
              <w:keepLines/>
              <w:widowControl w:val="0"/>
              <w:jc w:val="center"/>
              <w:rPr>
                <w:b/>
                <w:sz w:val="22"/>
                <w:szCs w:val="22"/>
              </w:rPr>
            </w:pPr>
            <w:r>
              <w:rPr>
                <w:b/>
                <w:sz w:val="22"/>
                <w:szCs w:val="22"/>
              </w:rPr>
              <w:t>EUR</w:t>
            </w:r>
          </w:p>
        </w:tc>
        <w:tc>
          <w:tcPr>
            <w:tcW w:w="556" w:type="pct"/>
            <w:tcBorders>
              <w:bottom w:val="nil"/>
            </w:tcBorders>
            <w:shd w:val="pct5" w:color="auto" w:fill="FFFFFF"/>
          </w:tcPr>
          <w:p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rsidR="00B95E2A" w:rsidRPr="006A5F84" w:rsidRDefault="00B95E2A" w:rsidP="0047783A">
            <w:pPr>
              <w:keepNext/>
              <w:keepLines/>
              <w:widowControl w:val="0"/>
              <w:jc w:val="center"/>
              <w:rPr>
                <w:b/>
                <w:sz w:val="22"/>
                <w:szCs w:val="22"/>
              </w:rPr>
            </w:pPr>
            <w:r>
              <w:rPr>
                <w:b/>
                <w:sz w:val="22"/>
                <w:szCs w:val="22"/>
              </w:rPr>
              <w:t>EUR</w:t>
            </w:r>
          </w:p>
        </w:tc>
        <w:tc>
          <w:tcPr>
            <w:tcW w:w="486" w:type="pct"/>
            <w:tcBorders>
              <w:bottom w:val="nil"/>
            </w:tcBorders>
            <w:shd w:val="pct5" w:color="auto" w:fill="FFFFFF"/>
          </w:tcPr>
          <w:p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486" w:type="pct"/>
            <w:tcBorders>
              <w:bottom w:val="nil"/>
            </w:tcBorders>
            <w:shd w:val="pct5" w:color="auto" w:fill="FFFFFF"/>
          </w:tcPr>
          <w:p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rsidTr="003437AB">
        <w:trPr>
          <w:cantSplit/>
        </w:trPr>
        <w:tc>
          <w:tcPr>
            <w:tcW w:w="1598" w:type="pct"/>
            <w:tcBorders>
              <w:top w:val="single" w:sz="6" w:space="0" w:color="auto"/>
              <w:bottom w:val="double" w:sz="2" w:space="0" w:color="auto"/>
            </w:tcBorders>
          </w:tcPr>
          <w:p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694" w:type="pct"/>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625" w:type="pct"/>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556" w:type="pct"/>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556" w:type="pct"/>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486" w:type="pct"/>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486" w:type="pct"/>
            <w:tcBorders>
              <w:top w:val="single" w:sz="6" w:space="0" w:color="auto"/>
              <w:bottom w:val="double" w:sz="2" w:space="0" w:color="auto"/>
            </w:tcBorders>
          </w:tcPr>
          <w:p w:rsidR="00B95E2A" w:rsidRPr="006A5F84" w:rsidRDefault="00B95E2A" w:rsidP="0047783A">
            <w:pPr>
              <w:keepNext/>
              <w:keepLines/>
              <w:widowControl w:val="0"/>
              <w:rPr>
                <w:sz w:val="22"/>
                <w:szCs w:val="22"/>
              </w:rPr>
            </w:pPr>
          </w:p>
        </w:tc>
      </w:tr>
      <w:tr w:rsidR="00B95E2A" w:rsidRPr="006A5F84" w:rsidTr="003437AB">
        <w:trPr>
          <w:cantSplit/>
        </w:trPr>
        <w:tc>
          <w:tcPr>
            <w:tcW w:w="1598" w:type="pct"/>
            <w:tcBorders>
              <w:top w:val="nil"/>
            </w:tcBorders>
          </w:tcPr>
          <w:p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694" w:type="pct"/>
            <w:tcBorders>
              <w:top w:val="nil"/>
            </w:tcBorders>
          </w:tcPr>
          <w:p w:rsidR="00B95E2A" w:rsidRPr="006A5F84" w:rsidRDefault="00B95E2A" w:rsidP="0047783A">
            <w:pPr>
              <w:keepNext/>
              <w:keepLines/>
              <w:widowControl w:val="0"/>
              <w:rPr>
                <w:sz w:val="22"/>
                <w:szCs w:val="22"/>
              </w:rPr>
            </w:pPr>
          </w:p>
        </w:tc>
        <w:tc>
          <w:tcPr>
            <w:tcW w:w="625" w:type="pct"/>
            <w:tcBorders>
              <w:top w:val="nil"/>
            </w:tcBorders>
          </w:tcPr>
          <w:p w:rsidR="00B95E2A" w:rsidRPr="006A5F84" w:rsidRDefault="00B95E2A" w:rsidP="0047783A">
            <w:pPr>
              <w:keepNext/>
              <w:keepLines/>
              <w:widowControl w:val="0"/>
              <w:rPr>
                <w:sz w:val="22"/>
                <w:szCs w:val="22"/>
              </w:rPr>
            </w:pPr>
          </w:p>
        </w:tc>
        <w:tc>
          <w:tcPr>
            <w:tcW w:w="556" w:type="pct"/>
            <w:tcBorders>
              <w:top w:val="nil"/>
              <w:bottom w:val="single" w:sz="6" w:space="0" w:color="auto"/>
            </w:tcBorders>
          </w:tcPr>
          <w:p w:rsidR="00B95E2A" w:rsidRPr="006A5F84" w:rsidRDefault="00B95E2A" w:rsidP="0047783A">
            <w:pPr>
              <w:keepNext/>
              <w:keepLines/>
              <w:widowControl w:val="0"/>
              <w:rPr>
                <w:sz w:val="22"/>
                <w:szCs w:val="22"/>
              </w:rPr>
            </w:pPr>
          </w:p>
        </w:tc>
        <w:tc>
          <w:tcPr>
            <w:tcW w:w="556" w:type="pct"/>
            <w:tcBorders>
              <w:top w:val="nil"/>
              <w:bottom w:val="single" w:sz="6" w:space="0" w:color="auto"/>
            </w:tcBorders>
          </w:tcPr>
          <w:p w:rsidR="00B95E2A" w:rsidRPr="006A5F84" w:rsidRDefault="00B95E2A" w:rsidP="0047783A">
            <w:pPr>
              <w:keepNext/>
              <w:keepLines/>
              <w:widowControl w:val="0"/>
              <w:rPr>
                <w:sz w:val="22"/>
                <w:szCs w:val="22"/>
              </w:rPr>
            </w:pPr>
          </w:p>
        </w:tc>
        <w:tc>
          <w:tcPr>
            <w:tcW w:w="486" w:type="pct"/>
            <w:tcBorders>
              <w:top w:val="nil"/>
              <w:bottom w:val="single" w:sz="6" w:space="0" w:color="auto"/>
            </w:tcBorders>
          </w:tcPr>
          <w:p w:rsidR="00B95E2A" w:rsidRPr="006A5F84" w:rsidRDefault="00B95E2A" w:rsidP="0047783A">
            <w:pPr>
              <w:keepNext/>
              <w:keepLines/>
              <w:widowControl w:val="0"/>
              <w:rPr>
                <w:sz w:val="22"/>
                <w:szCs w:val="22"/>
              </w:rPr>
            </w:pPr>
          </w:p>
        </w:tc>
        <w:tc>
          <w:tcPr>
            <w:tcW w:w="486" w:type="pct"/>
            <w:tcBorders>
              <w:top w:val="nil"/>
              <w:bottom w:val="single" w:sz="6" w:space="0" w:color="auto"/>
            </w:tcBorders>
          </w:tcPr>
          <w:p w:rsidR="00B95E2A" w:rsidRPr="006A5F84" w:rsidRDefault="00B95E2A" w:rsidP="0047783A">
            <w:pPr>
              <w:keepNext/>
              <w:keepLines/>
              <w:widowControl w:val="0"/>
              <w:rPr>
                <w:sz w:val="22"/>
                <w:szCs w:val="22"/>
              </w:rPr>
            </w:pPr>
          </w:p>
        </w:tc>
      </w:tr>
      <w:tr w:rsidR="00B95E2A" w:rsidRPr="006A5F84" w:rsidTr="003437AB">
        <w:trPr>
          <w:cantSplit/>
        </w:trPr>
        <w:tc>
          <w:tcPr>
            <w:tcW w:w="1598" w:type="pct"/>
          </w:tcPr>
          <w:p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694" w:type="pct"/>
          </w:tcPr>
          <w:p w:rsidR="00B95E2A" w:rsidRPr="006A5F84" w:rsidRDefault="00B95E2A" w:rsidP="0047783A">
            <w:pPr>
              <w:keepNext/>
              <w:keepLines/>
              <w:widowControl w:val="0"/>
              <w:rPr>
                <w:sz w:val="22"/>
                <w:szCs w:val="22"/>
              </w:rPr>
            </w:pPr>
          </w:p>
        </w:tc>
        <w:tc>
          <w:tcPr>
            <w:tcW w:w="625" w:type="pct"/>
          </w:tcPr>
          <w:p w:rsidR="00B95E2A" w:rsidRPr="006A5F84" w:rsidRDefault="00B95E2A"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486" w:type="pct"/>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486" w:type="pct"/>
            <w:tcBorders>
              <w:top w:val="single" w:sz="6" w:space="0" w:color="auto"/>
              <w:bottom w:val="single" w:sz="6" w:space="0" w:color="auto"/>
            </w:tcBorders>
          </w:tcPr>
          <w:p w:rsidR="00B95E2A" w:rsidRPr="006A5F84" w:rsidRDefault="00B95E2A" w:rsidP="0047783A">
            <w:pPr>
              <w:keepNext/>
              <w:keepLines/>
              <w:widowControl w:val="0"/>
              <w:rPr>
                <w:sz w:val="22"/>
                <w:szCs w:val="22"/>
              </w:rPr>
            </w:pPr>
          </w:p>
        </w:tc>
      </w:tr>
      <w:tr w:rsidR="00267F66" w:rsidRPr="006A5F84" w:rsidTr="003437AB">
        <w:trPr>
          <w:cantSplit/>
        </w:trPr>
        <w:tc>
          <w:tcPr>
            <w:tcW w:w="1598" w:type="pct"/>
          </w:tcPr>
          <w:p w:rsidR="00267F66" w:rsidRPr="00CF5D66" w:rsidRDefault="00267F66" w:rsidP="00512586">
            <w:pPr>
              <w:keepNext/>
              <w:keepLines/>
              <w:widowControl w:val="0"/>
              <w:rPr>
                <w:sz w:val="22"/>
                <w:szCs w:val="22"/>
                <w:lang w:val="fr-BE"/>
              </w:rPr>
            </w:pPr>
            <w:r w:rsidRPr="00CF5D66">
              <w:rPr>
                <w:sz w:val="22"/>
                <w:szCs w:val="22"/>
                <w:highlight w:val="lightGray"/>
                <w:lang w:val="fr-BE"/>
              </w:rPr>
              <w:t>[</w:t>
            </w:r>
            <w:proofErr w:type="spellStart"/>
            <w:r w:rsidRPr="00CF5D66">
              <w:rPr>
                <w:sz w:val="22"/>
                <w:szCs w:val="22"/>
                <w:highlight w:val="lightGray"/>
                <w:lang w:val="fr-BE"/>
              </w:rPr>
              <w:t>Current</w:t>
            </w:r>
            <w:proofErr w:type="spellEnd"/>
            <w:r w:rsidRPr="00CF5D66">
              <w:rPr>
                <w:sz w:val="22"/>
                <w:szCs w:val="22"/>
                <w:highlight w:val="lightGray"/>
                <w:lang w:val="fr-BE"/>
              </w:rPr>
              <w:t xml:space="preserve"> ratio (</w:t>
            </w:r>
            <w:proofErr w:type="spellStart"/>
            <w:r w:rsidRPr="00CF5D66">
              <w:rPr>
                <w:sz w:val="22"/>
                <w:szCs w:val="22"/>
                <w:highlight w:val="lightGray"/>
                <w:lang w:val="fr-BE"/>
              </w:rPr>
              <w:t>current</w:t>
            </w:r>
            <w:proofErr w:type="spellEnd"/>
            <w:r w:rsidRPr="00CF5D66">
              <w:rPr>
                <w:sz w:val="22"/>
                <w:szCs w:val="22"/>
                <w:highlight w:val="lightGray"/>
                <w:lang w:val="fr-BE"/>
              </w:rPr>
              <w:t xml:space="preserve"> assets/</w:t>
            </w:r>
            <w:proofErr w:type="spellStart"/>
            <w:r w:rsidRPr="00CF5D66">
              <w:rPr>
                <w:sz w:val="22"/>
                <w:szCs w:val="22"/>
                <w:highlight w:val="lightGray"/>
                <w:lang w:val="fr-BE"/>
              </w:rPr>
              <w:t>current</w:t>
            </w:r>
            <w:proofErr w:type="spellEnd"/>
            <w:r w:rsidRPr="00CF5D66">
              <w:rPr>
                <w:sz w:val="22"/>
                <w:szCs w:val="22"/>
                <w:highlight w:val="lightGray"/>
                <w:lang w:val="fr-BE"/>
              </w:rPr>
              <w:t xml:space="preserve"> </w:t>
            </w:r>
            <w:proofErr w:type="spellStart"/>
            <w:r w:rsidRPr="00CF5D66">
              <w:rPr>
                <w:sz w:val="22"/>
                <w:szCs w:val="22"/>
                <w:highlight w:val="lightGray"/>
                <w:lang w:val="fr-BE"/>
              </w:rPr>
              <w:t>liabilities</w:t>
            </w:r>
            <w:proofErr w:type="spellEnd"/>
            <w:r w:rsidRPr="00CF5D66">
              <w:rPr>
                <w:sz w:val="22"/>
                <w:szCs w:val="22"/>
                <w:highlight w:val="lightGray"/>
                <w:lang w:val="fr-BE"/>
              </w:rPr>
              <w:t>)</w:t>
            </w:r>
          </w:p>
        </w:tc>
        <w:tc>
          <w:tcPr>
            <w:tcW w:w="694" w:type="pct"/>
            <w:tcBorders>
              <w:bottom w:val="single" w:sz="6" w:space="0" w:color="auto"/>
            </w:tcBorders>
          </w:tcPr>
          <w:p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625" w:type="pct"/>
            <w:tcBorders>
              <w:bottom w:val="single" w:sz="6" w:space="0" w:color="auto"/>
            </w:tcBorders>
          </w:tcPr>
          <w:p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556" w:type="pct"/>
            <w:tcBorders>
              <w:top w:val="single" w:sz="6" w:space="0" w:color="auto"/>
              <w:bottom w:val="single" w:sz="6" w:space="0" w:color="auto"/>
            </w:tcBorders>
            <w:shd w:val="clear" w:color="auto" w:fill="auto"/>
          </w:tcPr>
          <w:p w:rsidR="00267F66" w:rsidRPr="006A5F84" w:rsidRDefault="00267F66"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vAlign w:val="center"/>
          </w:tcPr>
          <w:p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486" w:type="pct"/>
            <w:tcBorders>
              <w:top w:val="single" w:sz="6" w:space="0" w:color="auto"/>
              <w:bottom w:val="single" w:sz="6" w:space="0" w:color="auto"/>
            </w:tcBorders>
            <w:shd w:val="clear" w:color="auto" w:fill="auto"/>
            <w:vAlign w:val="center"/>
          </w:tcPr>
          <w:p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486" w:type="pct"/>
            <w:tcBorders>
              <w:top w:val="single" w:sz="6" w:space="0" w:color="auto"/>
              <w:bottom w:val="single" w:sz="6" w:space="0" w:color="auto"/>
            </w:tcBorders>
          </w:tcPr>
          <w:p w:rsidR="00267F66" w:rsidRPr="006A5F84" w:rsidRDefault="00267F66" w:rsidP="0047783A">
            <w:pPr>
              <w:keepNext/>
              <w:keepLines/>
              <w:widowControl w:val="0"/>
              <w:rPr>
                <w:sz w:val="22"/>
                <w:szCs w:val="22"/>
              </w:rPr>
            </w:pPr>
            <w:r w:rsidRPr="00AF2815">
              <w:rPr>
                <w:sz w:val="22"/>
                <w:szCs w:val="22"/>
                <w:highlight w:val="lightGray"/>
              </w:rPr>
              <w:t>Not applicable]</w:t>
            </w: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47783A">
            <w:pPr>
              <w:keepLines/>
              <w:widowControl w:val="0"/>
              <w:rPr>
                <w:sz w:val="22"/>
                <w:szCs w:val="22"/>
              </w:rPr>
            </w:pPr>
            <w:r w:rsidRPr="006A5F84">
              <w:t>Permanent staff as a proportion of total staff (%)</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347075" w:rsidP="00601A79">
      <w:pPr>
        <w:spacing w:before="240"/>
        <w:jc w:val="both"/>
        <w:rPr>
          <w:sz w:val="22"/>
          <w:szCs w:val="22"/>
        </w:rPr>
      </w:pPr>
    </w:p>
    <w:p w:rsidR="00347075" w:rsidRPr="00347075" w:rsidRDefault="00347075" w:rsidP="00347075">
      <w:pPr>
        <w:jc w:val="both"/>
        <w:rPr>
          <w:b/>
          <w:sz w:val="22"/>
          <w:szCs w:val="22"/>
        </w:rPr>
      </w:pPr>
      <w:r w:rsidRPr="00347075">
        <w:rPr>
          <w:b/>
          <w:sz w:val="22"/>
          <w:szCs w:val="22"/>
        </w:rPr>
        <w:t>ANNEX 1 – DECLARATION OF HONOUR ON EXCLUSION AND SELECTION CRITERIA</w:t>
      </w:r>
    </w:p>
    <w:p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bookmarkStart w:id="2" w:name="_GoBack"/>
      <w:bookmarkEnd w:id="2"/>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26D8" w:rsidRPr="006A5F84" w:rsidRDefault="001D26D8">
      <w:r w:rsidRPr="006A5F84">
        <w:separator/>
      </w:r>
    </w:p>
  </w:endnote>
  <w:endnote w:type="continuationSeparator" w:id="0">
    <w:p w:rsidR="001D26D8" w:rsidRPr="006A5F84" w:rsidRDefault="001D26D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Pr="006A5F84" w:rsidRDefault="000C5EC0" w:rsidP="00601A79">
    <w:pPr>
      <w:pStyle w:val="Footer"/>
      <w:tabs>
        <w:tab w:val="clear" w:pos="4320"/>
        <w:tab w:val="clear" w:pos="8640"/>
        <w:tab w:val="right" w:pos="9072"/>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BD1435">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BD1435">
      <w:rPr>
        <w:noProof/>
        <w:sz w:val="18"/>
        <w:szCs w:val="18"/>
      </w:rPr>
      <w:t>9</w:t>
    </w:r>
    <w:r w:rsidR="004C51DD" w:rsidRPr="006A5F84">
      <w:rPr>
        <w:sz w:val="18"/>
        <w:szCs w:val="18"/>
      </w:rPr>
      <w:fldChar w:fldCharType="end"/>
    </w:r>
  </w:p>
  <w:p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BD1435">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BD1435">
      <w:rPr>
        <w:noProof/>
        <w:sz w:val="18"/>
        <w:szCs w:val="18"/>
      </w:rPr>
      <w:t>9</w:t>
    </w:r>
    <w:r w:rsidR="004C51DD" w:rsidRPr="006A5F84">
      <w:rPr>
        <w:sz w:val="18"/>
        <w:szCs w:val="18"/>
      </w:rPr>
      <w:fldChar w:fldCharType="end"/>
    </w:r>
  </w:p>
  <w:p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BD1435">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BD1435">
      <w:rPr>
        <w:noProof/>
        <w:sz w:val="18"/>
        <w:szCs w:val="18"/>
      </w:rPr>
      <w:t>9</w:t>
    </w:r>
    <w:r w:rsidR="004C51DD" w:rsidRPr="006A5F84">
      <w:rPr>
        <w:sz w:val="18"/>
        <w:szCs w:val="18"/>
      </w:rPr>
      <w:fldChar w:fldCharType="end"/>
    </w:r>
  </w:p>
  <w:p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Pr="00601A79" w:rsidRDefault="000C5EC0" w:rsidP="00601A79">
    <w:pPr>
      <w:pStyle w:val="Footer"/>
      <w:tabs>
        <w:tab w:val="clear" w:pos="4320"/>
        <w:tab w:val="clear" w:pos="8640"/>
        <w:tab w:val="right" w:pos="8647"/>
      </w:tabs>
      <w:spacing w:after="0"/>
      <w:ind w:right="6"/>
      <w:rPr>
        <w:rStyle w:val="PageNumber"/>
        <w:sz w:val="18"/>
        <w:szCs w:val="18"/>
      </w:rPr>
    </w:pPr>
    <w:r w:rsidRPr="000C5EC0">
      <w:rPr>
        <w:b/>
        <w:sz w:val="18"/>
      </w:rPr>
      <w:t>August 2020</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BD1435">
      <w:rPr>
        <w:rStyle w:val="PageNumber"/>
        <w:noProof/>
        <w:sz w:val="18"/>
        <w:szCs w:val="18"/>
      </w:rPr>
      <w:t>5</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BD1435">
      <w:rPr>
        <w:rStyle w:val="PageNumber"/>
        <w:noProof/>
        <w:sz w:val="18"/>
        <w:szCs w:val="18"/>
      </w:rPr>
      <w:t>9</w:t>
    </w:r>
    <w:r w:rsidR="004C51DD" w:rsidRPr="00601A79">
      <w:rPr>
        <w:rStyle w:val="PageNumber"/>
        <w:sz w:val="18"/>
        <w:szCs w:val="18"/>
      </w:rPr>
      <w:fldChar w:fldCharType="end"/>
    </w:r>
  </w:p>
  <w:p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Pr="00601A79" w:rsidRDefault="000C5EC0" w:rsidP="00601A79">
    <w:pPr>
      <w:pStyle w:val="Footer"/>
      <w:tabs>
        <w:tab w:val="clear" w:pos="8640"/>
        <w:tab w:val="right" w:pos="8505"/>
      </w:tabs>
      <w:spacing w:after="0"/>
      <w:rPr>
        <w:rStyle w:val="PageNumber"/>
        <w:sz w:val="18"/>
        <w:szCs w:val="18"/>
      </w:rPr>
    </w:pPr>
    <w:r w:rsidRPr="000C5EC0">
      <w:rPr>
        <w:b/>
        <w:sz w:val="18"/>
      </w:rPr>
      <w:t>August 2020</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BD1435">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BD1435">
      <w:rPr>
        <w:rStyle w:val="PageNumber"/>
        <w:noProof/>
        <w:sz w:val="18"/>
        <w:szCs w:val="18"/>
      </w:rPr>
      <w:t>9</w:t>
    </w:r>
    <w:r w:rsidR="004C51DD" w:rsidRPr="00601A79">
      <w:rPr>
        <w:rStyle w:val="PageNumber"/>
        <w:sz w:val="18"/>
        <w:szCs w:val="18"/>
      </w:rPr>
      <w:fldChar w:fldCharType="end"/>
    </w:r>
  </w:p>
  <w:p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26D8" w:rsidRPr="006A5F84" w:rsidRDefault="001D26D8">
      <w:r w:rsidRPr="006A5F84">
        <w:separator/>
      </w:r>
    </w:p>
  </w:footnote>
  <w:footnote w:type="continuationSeparator" w:id="0">
    <w:p w:rsidR="001D26D8" w:rsidRPr="006A5F84" w:rsidRDefault="001D26D8">
      <w:r w:rsidRPr="006A5F84">
        <w:continuationSeparator/>
      </w:r>
    </w:p>
  </w:footnote>
  <w:footnote w:id="1">
    <w:p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Default="004C5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94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37AB"/>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1435"/>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7812014D"/>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anctionsmap.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51037-33AB-4A61-8F85-6698BE6E3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1936</Words>
  <Characters>11036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d</cp:lastModifiedBy>
  <cp:revision>2</cp:revision>
  <cp:lastPrinted>2012-09-24T09:39:00Z</cp:lastPrinted>
  <dcterms:created xsi:type="dcterms:W3CDTF">2025-10-08T11:23:00Z</dcterms:created>
  <dcterms:modified xsi:type="dcterms:W3CDTF">2025-10-08T11:23:00Z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